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432</w:t>
      </w:r>
    </w:p>
    <w:p>
      <w:r>
        <w:t>Bundesgericht (BGE), 1995-12-04, FR</w:t>
      </w:r>
    </w:p>
    <w:p>
      <w:r>
        <w:rPr>
          <w:b/>
        </w:rPr>
        <w:t xml:space="preserve">Quelle: </w:t>
      </w:r>
      <w:r>
        <w:t>https://mcp.opencaselaw.ch/entscheid/bge_121 III 432</w:t>
      </w:r>
    </w:p>
    <w:p>
      <w:r>
        <w:t>FR: ATF 121 III 432</w:t>
      </w:r>
    </w:p>
    <w:p>
      <w:r>
        <w:t>IT: DTF 121 III 432</w:t>
      </w:r>
    </w:p>
    <w:p>
      <w:pPr>
        <w:pStyle w:val="Heading2"/>
      </w:pPr>
      <w:r>
        <w:t>Regeste</w:t>
      </w:r>
    </w:p>
    <w:p>
      <w:r>
        <w:t>Regeste Löschung eines Pfandes im Grundbuch nach der Pfandverwertung (Art. 156 SchKG). Anrechnung im Falle teilweiser Bezahlung (Art. 85 Abs. 1 OR in Verbindung mit Art. 818 Abs. 1 ZGB). Wenn wegen ungenügender Pfanddeckung das Pfand ganz oder teilweise zu löschen ist, muss das Betreibungsamt den oder die Titel - im vorliegenden Fall die Schuldbriefe - dem Grundbuchamt zur Löschung oder Herabsetzung des Pfandrechtes zustellen (E. 2a). Entsprechend Art. 85 Abs. 1 OR, der auf die Zwangsverwertung und insbesondere auf die Betreibung auf Pfandverwertung anwendbar ist, muss der Ertrag aus der Pfandverwertung zuerst auf die Kosten der Betreibung und die Verzugszinsen und sodann auf das Kapital angerechnet werden (E. 2b).</w:t>
      </w:r>
    </w:p>
    <w:p>
      <w:pPr>
        <w:pStyle w:val="Heading2"/>
      </w:pPr>
      <w:r>
        <w:t>Erwägungen</w:t>
      </w:r>
    </w:p>
    <w:p>
      <w:r>
        <w:rPr>
          <w:b/>
        </w:rPr>
        <w:t>E. 2</w:t>
      </w:r>
    </w:p>
    <w:p>
      <w:r>
        <w:t>Dans la poursuite en réalisation de gage, la vente a lieu en conformité des art. 122 à 143 LP; toutefois, l' art. 135 LP est applicable en ce sens que la part du prix de vente afférente à la créance du poursuivant doit être payée en espèces et l'inscription foncière qui s'y rapporte radiée ( art. 156 LP ), à l'initiative de l'office ( art. 150 al. 3 LP ; C. JÄGER, Commentaire de la LP, n. 8 et 9 ad art. 150 et n. 4 ad art. 156). Pour le montant resté à découvert, qu'il s'agisse d'une part seulement ou de toute la créance en poursuite, il est délivré au créancier poursuivant un acte d'insuffisance de gage ( art. 158 al. 1 LP ). a) Selon la jurisprudence et la doctrine, le droit de gage s'éteint non seulement lorsque le produit de la réalisation permet de désintéresser complètement le créancier, mais aussi lorsque la créance demeure partiellement ou totalement impayée ( ATF 106 II 183 consid. 2 p. 187/188 et les références; STEINAUER, Les droits réels, t. III, n. 2707a; FRITZSCHE/WALDER, Schuldbetreibung und Konkurs nach schweizerischem Recht, vol. I, 3e éd., Zurich 1984, § 34 n. 44). Lorsque, par suite de l'insuffisance du prix de vente, le droit de gage se trouve éteint en totalité ou en partie, l'office doit transmettre le titre au registre foncier pour cancellation ou réduction du droit de gage s'il s'agit de cédules hypothécaires ou de lettres de rente; s'il s'agit d'une hypothèque, l'office ne doit restituer le titre au créancier qu'après y avoir fait mention de l'extinction du droit de gage (art. 110 al. 2 ORI [RS 281.42]). Si la poursuite a été infructueuse ( art. 158 LP et 71 ORI), l'office doit requérir la radiation du droit de gage garantissant la créance qui a fait l'objet de la poursuite (art. 111 al. 1 ORI). L' art. 156 LP réserve cependant expressément les conventions contraires. Ainsi, la cancellation de titres hypothécaires donnés en nantissement, qui ne correspondent pas à des charges déléguées à l'adjudicataire (cf. art. 135 LP et 45 al. 1 let. a ORI), n'a pas à être requise quand il a été convenu, de façon régulière et licite, qu'au lieu du paiement de la créance garantie par le titre, il y aurait reprise de la dette par l'adjudicataire ( ATF 52 III 168 consid. 2 p. 171). Quand toutefois la créance garantie par le nantissement du titre hypothécaire n'atteint pas le montant nominal de ce titre, ce dernier ne peut être maintenu que jusqu'à concurrence du BGE 121 III 432 S. 435 chiffre - plus bas - de la créance garantie (même arrêt, consid. 3 p. 172). Par ailleurs, la radiation du droit de gage ne doit manifestement pas intervenir lorsque le créancier poursuivant est lui-même devenu acquéreur de l'immeuble et que le titre à l'origine de la poursuite a été complètement couvert; si le titre n'a été couvert qu'en partie, la radiation interviendra dans la seule mesure couverte par le montant de l'adjudication (JÄGER, op.cit., n. 4 ad art. 156). b) Pour ce qui est de la couverture du titre ou étendue de la garantie, l' art. 818 al. 1 CC prévoit que le gage immobilier garantit au créancier: 1. le capital; 2. les frais de poursuite et les intérêts moratoires; 3. les intérêts de trois années échus au moment de l'ouverture de la faillite ou de la réquisition de vente et ceux qui ont couru depuis la dernière échéance. L' art. 85 al. 1 CO étant applicable en matière de poursuite (cf. GILLIÉRON, Poursuite pour dettes, faillite et concordat, 3e éd., Lausanne 1993, p. 48 let. e; FRITZSCHE/WALDER, op.cit., p. 183 n. 32) et spécialement à la poursuite en réalisation de gage ( ATF 76 III 41 ; FRITZSCHE/WALDER, op.cit., vol. II, 3e éd., Zurich 1993, § 42 n. 11), le produit de la réalisation du gage doit être imputé en premier lieu sur les frais de la procédure et les intérêts, puis sur le capital.</w:t>
      </w:r>
    </w:p>
    <w:p>
      <w:r>
        <w:rPr>
          <w:b/>
        </w:rPr>
        <w:t>E. 3</w:t>
      </w:r>
    </w:p>
    <w:p>
      <w:r>
        <w:t>La décision attaquée se fonde sur les principes rappelés ci-dessus pour ordonner la réduction du montant des deux cédules litigieuses. La recourante se borne à opposer un point de vue différent de celui de l'autorité cantonale de surveillance, sans toutefois démontrer en quoi celle-ci aurait mal appliqué les principes en question, tels qu'ils résultent de la loi, la jurisprudence et la doctrine. Contrairement à ce qui est sous-entendu dans le recours, l'autorité cantonale a tenu compte de l'ensemble des passages pertinents de la doctrine, notamment de JÄGER. Par ailleurs, l'affirmation de la recourante selon laquelle l' art. 818 CC constituerait une lex specialis par rapport à l' art. 85 CO et serait seul applicable en l'espèce ne repose sur rien.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